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highlight w:val="white"/>
        </w:rPr>
      </w:pPr>
      <w:r w:rsidDel="00000000" w:rsidR="00000000" w:rsidRPr="00000000">
        <w:rPr>
          <w:b w:val="1"/>
          <w:smallCaps w:val="1"/>
          <w:highlight w:val="white"/>
          <w:rtl w:val="0"/>
        </w:rPr>
        <w:t xml:space="preserve">ISS MEDICLEAN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4A </w:t>
      </w:r>
    </w:p>
    <w:p w:rsidR="00000000" w:rsidDel="00000000" w:rsidP="00000000" w:rsidRDefault="00000000" w:rsidRPr="00000000" w14:paraId="00000011">
      <w:pPr>
        <w:jc w:val="center"/>
        <w:rPr>
          <w:rFonts w:ascii="Calibri" w:cs="Calibri" w:eastAsia="Calibri" w:hAnsi="Calibri"/>
          <w:b w:val="1"/>
        </w:rPr>
      </w:pPr>
      <w:r w:rsidDel="00000000" w:rsidR="00000000" w:rsidRPr="00000000">
        <w:rPr>
          <w:rFonts w:ascii="Calibri" w:cs="Calibri" w:eastAsia="Calibri" w:hAnsi="Calibri"/>
          <w:b w:val="1"/>
          <w:rtl w:val="0"/>
        </w:rPr>
        <w:t xml:space="preserve">BILLABLE WORKS AND PROJECTS</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prescribes the procedure, calculations and rates to be used by the Buyer and Supplier when assessing the Charges for Work Orders.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and executed by the Supplier;</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labour;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replacement Assets;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materials;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profit;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Billable Works Management Uplift (which includes Overhead); and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other applicable cost categories as the Buyer may notify to the Supplier from time to time.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Quotation and Tenders for Billable Works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gives instructions to the Supplier to manage and/or execute Billable Works according to applicable value thresholds: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One Billable Works shall be managed and executed by the Supplier. Where the Billable Works are to be delivered directly by the Supplier, the Supplier shall provide an estimate of costs in accordance with the rates set out in Call Off Schedule 5 – (Call-Off Pricing) or P.S.A. Schedule of Rates if requested by the Buyer. Where Works are to be undertaken by others,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up to the value specified in the Order Form; or</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Billable Works arise as a result of any: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that are Small Works; or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arising from Planned Maintenance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Billable Works shall not proceed until an instruction is received from the Buyer in writing or via the CAFM System.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Quotations for Billable Works may include the Billable Works Management Uplift (if applicable) as per the rates submitted in the Pricing Matrix.</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Projects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deemed as a Project, the Project Stage fee will apply as stated in the Pricing Matrix.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is agreed that the Project Stage fee shall always be applied to the value of a Project prior to any profit.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Inclusive Repair Threshold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vandalism; </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4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unapproved suppliers repairing Assets;</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 specifies a price variation;</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schedule of works arising from events listed in paragraph 5.6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8">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9">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4A (Billable Works and Projects)</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numPr>
        <w:numId w:val="116"/>
      </w:numPr>
      <w:tabs>
        <w:tab w:val="left" w:pos="-9"/>
      </w:tabs>
      <w:spacing w:after="1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s>
      <w:ind w:hanging="545"/>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2CgYE4JqZUsiPhDbnPzVq14VCw==">CgMxLjAyCGguZ2pkZ3hzMgloLjMwajB6bGwyCWguMWZvYjl0ZTIJaC4zem55c2g3OAByITFIVGwwU0ZNSWFpeE4xclBBUGNMOHJSWjVVN1gxMDVrMw==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